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520F76" w:rsidRDefault="007F677F" w:rsidP="00520F76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15</w:t>
      </w:r>
      <w:r w:rsidR="00520F76">
        <w:rPr>
          <w:rFonts w:ascii="Tahoma" w:hAnsi="Tahoma" w:cs="Tahoma"/>
          <w:color w:val="000000"/>
        </w:rPr>
        <w:t xml:space="preserve"> stycznia 2016</w:t>
      </w:r>
      <w:r w:rsidR="00520F76" w:rsidRPr="007E3BFF">
        <w:rPr>
          <w:rFonts w:ascii="Tahoma" w:hAnsi="Tahoma" w:cs="Tahoma"/>
          <w:color w:val="000000"/>
        </w:rPr>
        <w:t xml:space="preserve"> r.</w:t>
      </w:r>
    </w:p>
    <w:p w:rsidR="00520F76" w:rsidRDefault="00520F76" w:rsidP="00520F7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520F76" w:rsidRPr="007E3BFF" w:rsidRDefault="00520F76" w:rsidP="00520F7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03/2016</w:t>
      </w:r>
    </w:p>
    <w:p w:rsidR="00520F76" w:rsidRPr="007E3BFF" w:rsidRDefault="00520F76" w:rsidP="00520F76">
      <w:pPr>
        <w:rPr>
          <w:rFonts w:ascii="Tahoma" w:hAnsi="Tahoma" w:cs="Tahoma"/>
        </w:rPr>
      </w:pPr>
      <w:r>
        <w:rPr>
          <w:rFonts w:ascii="Tahoma" w:hAnsi="Tahoma" w:cs="Tahoma"/>
        </w:rPr>
        <w:t>DOZ/EZ/Z.P.03/2540/1/2016</w:t>
      </w:r>
    </w:p>
    <w:p w:rsidR="00520F76" w:rsidRDefault="00520F76" w:rsidP="00520F76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520F76" w:rsidRDefault="00520F76" w:rsidP="00520F7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520F76" w:rsidRDefault="00520F76" w:rsidP="00520F76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OGŁOSZENIE O ZAMÓWIENIU </w:t>
      </w:r>
      <w:r>
        <w:rPr>
          <w:rFonts w:ascii="Tahoma" w:eastAsia="Times New Roman" w:hAnsi="Tahoma" w:cs="Tahoma"/>
          <w:color w:val="000000"/>
        </w:rPr>
        <w:t>–</w:t>
      </w:r>
      <w:r w:rsidRPr="00A36D03">
        <w:rPr>
          <w:rFonts w:ascii="Tahoma" w:eastAsia="Times New Roman" w:hAnsi="Tahoma" w:cs="Tahoma"/>
          <w:color w:val="000000"/>
        </w:rPr>
        <w:t xml:space="preserve"> usługi</w:t>
      </w:r>
    </w:p>
    <w:p w:rsidR="00520F76" w:rsidRPr="00D860A8" w:rsidRDefault="00520F76" w:rsidP="00520F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</w:t>
      </w:r>
      <w:r>
        <w:rPr>
          <w:rFonts w:ascii="Tahoma" w:hAnsi="Tahoma" w:cs="Tahoma"/>
          <w:bCs/>
        </w:rPr>
        <w:t>przygotowanie projektu,</w:t>
      </w:r>
      <w:r w:rsidRPr="00D860A8">
        <w:rPr>
          <w:rFonts w:ascii="Tahoma" w:hAnsi="Tahoma" w:cs="Tahoma"/>
          <w:bCs/>
        </w:rPr>
        <w:t xml:space="preserve"> druk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 i dostawę </w:t>
      </w:r>
      <w:r>
        <w:rPr>
          <w:rFonts w:ascii="Tahoma" w:hAnsi="Tahoma" w:cs="Tahoma"/>
          <w:bCs/>
        </w:rPr>
        <w:t xml:space="preserve">500 sztuk kalendarzy na 2016r </w:t>
      </w:r>
      <w:r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>
        <w:rPr>
          <w:rFonts w:ascii="Tahoma" w:hAnsi="Tahoma" w:cs="Tahoma"/>
        </w:rPr>
        <w:t>.</w:t>
      </w:r>
      <w:r w:rsidRPr="008A314B">
        <w:rPr>
          <w:rFonts w:ascii="Tahoma" w:hAnsi="Tahoma" w:cs="Tahoma"/>
          <w:bCs/>
        </w:rPr>
        <w:t xml:space="preserve"> </w:t>
      </w:r>
    </w:p>
    <w:p w:rsidR="008B2FE9" w:rsidRDefault="008B2FE9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B47C0D">
        <w:rPr>
          <w:rFonts w:ascii="Tahoma" w:eastAsia="Times New Roman" w:hAnsi="Tahoma" w:cs="Tahoma"/>
          <w:color w:val="000000"/>
        </w:rPr>
        <w:t xml:space="preserve"> obowiązkowe.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B47C0D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B47C0D" w:rsidRPr="00B47C0D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>V</w:t>
            </w:r>
            <w:r w:rsidRPr="00B47C0D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B47C0D">
              <w:rPr>
                <w:rFonts w:ascii="Tahoma" w:eastAsia="Times New Roman" w:hAnsi="Tahoma" w:cs="Tahoma"/>
                <w:color w:val="000000"/>
              </w:rPr>
              <w:t>zamówienia</w:t>
            </w:r>
            <w:proofErr w:type="spellEnd"/>
            <w:r w:rsidRPr="00B47C0D">
              <w:rPr>
                <w:rFonts w:ascii="Tahoma" w:eastAsia="Times New Roman" w:hAnsi="Tahoma" w:cs="Tahoma"/>
                <w:color w:val="000000"/>
              </w:rPr>
              <w:t xml:space="preserve"> publicznego </w:t>
            </w:r>
          </w:p>
        </w:tc>
      </w:tr>
      <w:tr w:rsidR="00B47C0D" w:rsidRPr="00B47C0D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color w:val="000000"/>
              </w:rPr>
              <w:t xml:space="preserve">zawarcia umowy ramowej </w:t>
            </w:r>
          </w:p>
        </w:tc>
      </w:tr>
      <w:tr w:rsidR="00B47C0D" w:rsidRPr="00B47C0D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color w:val="000000"/>
              </w:rPr>
              <w:t xml:space="preserve">ustanowienia dynamicznego systemu zakupów (DSZ) </w:t>
            </w:r>
          </w:p>
        </w:tc>
      </w:tr>
    </w:tbl>
    <w:p w:rsidR="00B47C0D" w:rsidRPr="00B47C0D" w:rsidRDefault="00B47C0D" w:rsidP="00B47C0D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B47C0D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B47C0D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B47C0D" w:rsidRPr="00B47C0D" w:rsidRDefault="00B47C0D" w:rsidP="00B47C0D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Adres strony internetowej zamawiającego:</w:t>
      </w:r>
      <w:r w:rsidRPr="00B47C0D">
        <w:rPr>
          <w:rFonts w:ascii="Tahoma" w:eastAsia="Times New Roman" w:hAnsi="Tahoma" w:cs="Tahoma"/>
          <w:color w:val="000000"/>
        </w:rPr>
        <w:t xml:space="preserve"> http://www.dwup.pl 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B47C0D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B47C0D" w:rsidRPr="00B47C0D" w:rsidRDefault="00B47C0D" w:rsidP="00B47C0D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B47C0D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II.1) OKREŚLENIE PRZEDMIOTU ZAMÓWIENIA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II.1.1) Nazwa nadana zamówieniu przez zamawiającego:</w:t>
      </w:r>
      <w:r w:rsidRPr="00B47C0D">
        <w:rPr>
          <w:rFonts w:ascii="Tahoma" w:eastAsia="Times New Roman" w:hAnsi="Tahoma" w:cs="Tahoma"/>
          <w:color w:val="000000"/>
        </w:rPr>
        <w:t xml:space="preserve"> Przetarg nieograniczony na kompleksową usługę wydawniczą obejmującą przygotowanie projektu, druk i dostawę 500 sztuk kalendarzy na 2016r wykorzystywanych na potrzeby działań informacyjno - promocyjnych, prowadzonych przez DWUP w ramach Programu Operacyjnego Wiedza Edukacja Rozwój..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II.1.2) Rodzaj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>:</w:t>
      </w:r>
      <w:r w:rsidRPr="00B47C0D">
        <w:rPr>
          <w:rFonts w:ascii="Tahoma" w:eastAsia="Times New Roman" w:hAnsi="Tahoma" w:cs="Tahoma"/>
          <w:color w:val="000000"/>
        </w:rPr>
        <w:t xml:space="preserve"> usługi.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II.1.4) Określenie przedmiotu oraz wielkości lub zakresu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>:</w:t>
      </w:r>
      <w:r w:rsidRPr="00B47C0D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jest usługa zaprojektowania, druku i dostawy do Filii Dolnośląskiego Wojewódzkiego Urzędu Pracy we Wrocławiu 500 sztuk kalendarzy na 2016 rok wykorzystywanych na potrzeby działań informacyjno - promocyjnych, prowadzonych przez DWUP w ramach Programu Operacyjnego Wiedza Edukacja </w:t>
      </w:r>
      <w:proofErr w:type="spellStart"/>
      <w:r w:rsidRPr="00B47C0D">
        <w:rPr>
          <w:rFonts w:ascii="Tahoma" w:eastAsia="Times New Roman" w:hAnsi="Tahoma" w:cs="Tahoma"/>
          <w:color w:val="000000"/>
        </w:rPr>
        <w:t>Rozwój.Przedmiot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obejmuje: 1) Przygotowanie koncepcji graficznej (projektu) kalendarzy (min. po 3 projekty); 2)Wyprodukowanie kalendarzy, zgodnie z wymaganiami Zamawiającego w ilości: a) Kalendarz ścienny składany trójdzielny - 500 szt.; 3) Dostawę gotowych kalendarzy do Filii Dolnośląskiego Wojewódzkiego Urzędu Pracy we Wrocławiu, przy Al. Armii Krajowej 54 (Oddział ds. Promocji i Informacji w Wydziale Promocji, Informacji i Pomocy Technicznej, piętro I, pok. 100), nie później jednak niż w ostatnim dniu terminu na wykonanie przedmiotu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>..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II.1.5)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60"/>
      </w:tblGrid>
      <w:tr w:rsidR="00B47C0D" w:rsidRPr="00B47C0D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>V</w:t>
            </w:r>
            <w:r w:rsidRPr="00B47C0D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przewiduje się udzielenie </w:t>
            </w:r>
            <w:proofErr w:type="spellStart"/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>zamówień</w:t>
            </w:r>
            <w:proofErr w:type="spellEnd"/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uzupełniających:</w:t>
            </w:r>
            <w:r w:rsidRPr="00B47C0D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</w:tbl>
    <w:p w:rsidR="00B47C0D" w:rsidRPr="00B47C0D" w:rsidRDefault="00B47C0D" w:rsidP="00B47C0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Określenie przedmiotu oraz wielkości lub zakresu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 uzupełniających</w:t>
      </w:r>
      <w:r w:rsidRPr="00B47C0D">
        <w:rPr>
          <w:rFonts w:ascii="Tahoma" w:eastAsia="Times New Roman" w:hAnsi="Tahoma" w:cs="Tahoma"/>
          <w:color w:val="000000"/>
        </w:rPr>
        <w:t xml:space="preserve"> </w:t>
      </w:r>
    </w:p>
    <w:p w:rsidR="00B47C0D" w:rsidRPr="00B47C0D" w:rsidRDefault="00B47C0D" w:rsidP="00B47C0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Zamawiający nie przewiduje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zamówień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uzupełniających 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lastRenderedPageBreak/>
        <w:t>II.1.6) Wspólny Słownik Zamówień (CPV):</w:t>
      </w:r>
      <w:r w:rsidRPr="00B47C0D">
        <w:rPr>
          <w:rFonts w:ascii="Tahoma" w:eastAsia="Times New Roman" w:hAnsi="Tahoma" w:cs="Tahoma"/>
          <w:color w:val="000000"/>
        </w:rPr>
        <w:t xml:space="preserve"> 30.19.97.92-8, 79.82.25.00-7, 39.29.41.00-0.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II.1.7) Czy dopuszcza się złożenie oferty częściowej:</w:t>
      </w:r>
      <w:r w:rsidRPr="00B47C0D">
        <w:rPr>
          <w:rFonts w:ascii="Tahoma" w:eastAsia="Times New Roman" w:hAnsi="Tahoma" w:cs="Tahoma"/>
          <w:color w:val="000000"/>
        </w:rPr>
        <w:t xml:space="preserve"> nie.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II.1.8) Czy dopuszcza się złożenie oferty wariantowej:</w:t>
      </w:r>
      <w:r w:rsidRPr="00B47C0D">
        <w:rPr>
          <w:rFonts w:ascii="Tahoma" w:eastAsia="Times New Roman" w:hAnsi="Tahoma" w:cs="Tahoma"/>
          <w:color w:val="000000"/>
        </w:rPr>
        <w:t xml:space="preserve"> nie.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II.2) CZAS TRWANIA ZAMÓWIENIA LUB TERMIN WYKONANIA:</w:t>
      </w:r>
      <w:r w:rsidRPr="00B47C0D">
        <w:rPr>
          <w:rFonts w:ascii="Tahoma" w:eastAsia="Times New Roman" w:hAnsi="Tahoma" w:cs="Tahoma"/>
          <w:color w:val="000000"/>
        </w:rPr>
        <w:t xml:space="preserve"> Okres w dniach: 15.</w:t>
      </w:r>
    </w:p>
    <w:p w:rsidR="00B47C0D" w:rsidRPr="00B47C0D" w:rsidRDefault="00B47C0D" w:rsidP="00B47C0D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B47C0D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III.1) WADIUM</w:t>
      </w:r>
    </w:p>
    <w:p w:rsidR="00B47C0D" w:rsidRPr="00B47C0D" w:rsidRDefault="00B47C0D" w:rsidP="00B47C0D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Informacja na temat wadium:</w:t>
      </w:r>
      <w:r w:rsidRPr="00B47C0D">
        <w:rPr>
          <w:rFonts w:ascii="Tahoma" w:eastAsia="Times New Roman" w:hAnsi="Tahoma" w:cs="Tahoma"/>
          <w:color w:val="000000"/>
        </w:rPr>
        <w:t xml:space="preserve"> nie jest wymagane.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B47C0D" w:rsidRPr="00B47C0D" w:rsidRDefault="00B47C0D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B47C0D" w:rsidRPr="00B47C0D" w:rsidRDefault="00B47C0D" w:rsidP="00B47C0D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B47C0D" w:rsidRPr="00B47C0D" w:rsidRDefault="00B47C0D" w:rsidP="00B47C0D">
      <w:pPr>
        <w:numPr>
          <w:ilvl w:val="1"/>
          <w:numId w:val="4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zamówień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B47C0D">
        <w:rPr>
          <w:rFonts w:ascii="Tahoma" w:eastAsia="Times New Roman" w:hAnsi="Tahoma" w:cs="Tahoma"/>
          <w:color w:val="000000"/>
        </w:rPr>
        <w:t>publicznych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. </w:t>
      </w:r>
    </w:p>
    <w:p w:rsidR="00B47C0D" w:rsidRPr="00B47C0D" w:rsidRDefault="00B47C0D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III.3.2) Wiedza i doświadczenie</w:t>
      </w:r>
    </w:p>
    <w:p w:rsidR="00B47C0D" w:rsidRPr="00B47C0D" w:rsidRDefault="00B47C0D" w:rsidP="00B47C0D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B47C0D" w:rsidRPr="00B47C0D" w:rsidRDefault="00B47C0D" w:rsidP="00B47C0D">
      <w:pPr>
        <w:numPr>
          <w:ilvl w:val="1"/>
          <w:numId w:val="4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Wykonawca ubiegający się o zamówienie powinien wykazać, że w okresie ostatnich trzech lat przed upływem terminu składania ofert, a jeżeli okres prowadzenia działalności jest krótszy - w tym okresie, wykonał usługi odpowiadające swoim rodzajem głównym usługom stanowiącym przedmiot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tj. min. 2 zadania, polegające na przygotowaniu projektu, druku i dostawie kalendarzy w ilości co najmniej 200 sztuk każde zadanie wraz z podaniem przedmiotu, dat wykonania, wartości i podmiotów, na rzecz których zadania zostały wykonane oraz załączeniem dowodów, że zostały wykonane należycie. </w:t>
      </w:r>
    </w:p>
    <w:p w:rsidR="00B47C0D" w:rsidRPr="00B47C0D" w:rsidRDefault="00B47C0D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III.3.3) Potencjał techniczny</w:t>
      </w:r>
    </w:p>
    <w:p w:rsidR="00B47C0D" w:rsidRPr="00B47C0D" w:rsidRDefault="00B47C0D" w:rsidP="00B47C0D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B47C0D" w:rsidRPr="00B47C0D" w:rsidRDefault="00B47C0D" w:rsidP="00B47C0D">
      <w:pPr>
        <w:numPr>
          <w:ilvl w:val="1"/>
          <w:numId w:val="4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zamówień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B47C0D">
        <w:rPr>
          <w:rFonts w:ascii="Tahoma" w:eastAsia="Times New Roman" w:hAnsi="Tahoma" w:cs="Tahoma"/>
          <w:color w:val="000000"/>
        </w:rPr>
        <w:t>publicznych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. </w:t>
      </w:r>
    </w:p>
    <w:p w:rsidR="00B47C0D" w:rsidRPr="00BF5DE7" w:rsidRDefault="00B47C0D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III.3.4) Osoby zdolne do wykonania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BF5DE7" w:rsidRPr="00BF5DE7" w:rsidRDefault="00BF5DE7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</w:p>
    <w:p w:rsidR="00BF5DE7" w:rsidRPr="00B47C0D" w:rsidRDefault="00BF5DE7" w:rsidP="00BF5DE7">
      <w:pPr>
        <w:numPr>
          <w:ilvl w:val="1"/>
          <w:numId w:val="4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zamówień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B47C0D">
        <w:rPr>
          <w:rFonts w:ascii="Tahoma" w:eastAsia="Times New Roman" w:hAnsi="Tahoma" w:cs="Tahoma"/>
          <w:color w:val="000000"/>
        </w:rPr>
        <w:t>publicznych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. </w:t>
      </w:r>
    </w:p>
    <w:p w:rsidR="00BF5DE7" w:rsidRPr="00B47C0D" w:rsidRDefault="00BF5DE7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</w:p>
    <w:p w:rsidR="00B47C0D" w:rsidRPr="00B47C0D" w:rsidRDefault="00B47C0D" w:rsidP="00B47C0D">
      <w:pPr>
        <w:numPr>
          <w:ilvl w:val="0"/>
          <w:numId w:val="4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III.3.5) Sytuacja ekonomiczna i finansowa</w:t>
      </w:r>
    </w:p>
    <w:p w:rsidR="00B47C0D" w:rsidRPr="00B47C0D" w:rsidRDefault="00B47C0D" w:rsidP="00B47C0D">
      <w:p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Opis sposobu dokonywania oceny spełniania tego warunku</w:t>
      </w:r>
    </w:p>
    <w:p w:rsidR="00B47C0D" w:rsidRPr="00B47C0D" w:rsidRDefault="00B47C0D" w:rsidP="00B47C0D">
      <w:pPr>
        <w:numPr>
          <w:ilvl w:val="1"/>
          <w:numId w:val="4"/>
        </w:numPr>
        <w:spacing w:before="100" w:beforeAutospacing="1" w:after="100" w:afterAutospacing="1"/>
        <w:ind w:left="9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Zamawiający uzna warunek za spełniony, jeśli wykonawca złoży oświadczenie zgodnie z art.22 ustawy prawo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zamówień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B47C0D">
        <w:rPr>
          <w:rFonts w:ascii="Tahoma" w:eastAsia="Times New Roman" w:hAnsi="Tahoma" w:cs="Tahoma"/>
          <w:color w:val="000000"/>
        </w:rPr>
        <w:t>publicznych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. 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7C0D" w:rsidRPr="00B47C0D" w:rsidRDefault="00B47C0D" w:rsidP="00B47C0D">
      <w:pPr>
        <w:numPr>
          <w:ilvl w:val="0"/>
          <w:numId w:val="5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47C0D" w:rsidRPr="00B47C0D" w:rsidRDefault="00B47C0D" w:rsidP="00B47C0D">
      <w:pPr>
        <w:numPr>
          <w:ilvl w:val="1"/>
          <w:numId w:val="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</w:t>
      </w:r>
      <w:r w:rsidRPr="00B47C0D">
        <w:rPr>
          <w:rFonts w:ascii="Tahoma" w:eastAsia="Times New Roman" w:hAnsi="Tahoma" w:cs="Tahoma"/>
          <w:color w:val="000000"/>
        </w:rPr>
        <w:lastRenderedPageBreak/>
        <w:t xml:space="preserve">przedmiotu, dat wykonania i podmiotów, na rzecz których dostawy lub usługi zostały wykonane, oraz załączeniem dowodów, czy zostały wykonane lub są wykonywane należycie; </w:t>
      </w:r>
    </w:p>
    <w:p w:rsidR="00B47C0D" w:rsidRPr="00B47C0D" w:rsidRDefault="00B47C0D" w:rsidP="00B47C0D">
      <w:pPr>
        <w:numPr>
          <w:ilvl w:val="0"/>
          <w:numId w:val="5"/>
        </w:numPr>
        <w:ind w:left="67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B47C0D" w:rsidRPr="00B47C0D" w:rsidRDefault="00B47C0D" w:rsidP="00B47C0D">
      <w:pPr>
        <w:numPr>
          <w:ilvl w:val="1"/>
          <w:numId w:val="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oświadczenie o braku podstaw do wykluczenia; </w:t>
      </w:r>
    </w:p>
    <w:p w:rsidR="00B47C0D" w:rsidRPr="00B47C0D" w:rsidRDefault="00B47C0D" w:rsidP="00B47C0D">
      <w:pPr>
        <w:numPr>
          <w:ilvl w:val="1"/>
          <w:numId w:val="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47C0D">
        <w:rPr>
          <w:rFonts w:ascii="Tahoma" w:eastAsia="Times New Roman" w:hAnsi="Tahoma" w:cs="Tahoma"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B47C0D" w:rsidRPr="00B47C0D" w:rsidRDefault="00B47C0D" w:rsidP="00B47C0D">
      <w:pPr>
        <w:numPr>
          <w:ilvl w:val="0"/>
          <w:numId w:val="5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III.4.3) Dokumenty podmiotów zagranicznych</w:t>
      </w:r>
    </w:p>
    <w:p w:rsidR="00B47C0D" w:rsidRPr="00B47C0D" w:rsidRDefault="00B47C0D" w:rsidP="00B47C0D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B47C0D" w:rsidRPr="00B47C0D" w:rsidRDefault="00B47C0D" w:rsidP="00B47C0D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III.4.3.1) dokument wystawiony w kraju, w którym ma siedzibę lub miejsce zamieszkania potwierdzający, że:</w:t>
      </w:r>
    </w:p>
    <w:p w:rsidR="00B47C0D" w:rsidRPr="00B47C0D" w:rsidRDefault="00B47C0D" w:rsidP="00B47C0D">
      <w:pPr>
        <w:numPr>
          <w:ilvl w:val="1"/>
          <w:numId w:val="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B47C0D" w:rsidRPr="00B47C0D" w:rsidRDefault="00B47C0D" w:rsidP="00B47C0D">
      <w:pPr>
        <w:numPr>
          <w:ilvl w:val="1"/>
          <w:numId w:val="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albo składania ofert; </w:t>
      </w:r>
    </w:p>
    <w:p w:rsidR="00B47C0D" w:rsidRDefault="00B47C0D" w:rsidP="00B47C0D">
      <w:pPr>
        <w:numPr>
          <w:ilvl w:val="0"/>
          <w:numId w:val="5"/>
        </w:num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III.4.4) Dokumenty dotyczące przynależności do tej samej grupy kapitałowej</w:t>
      </w:r>
    </w:p>
    <w:p w:rsidR="00A97EE4" w:rsidRPr="00B47C0D" w:rsidRDefault="00A97EE4" w:rsidP="00A97EE4">
      <w:pPr>
        <w:ind w:left="675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47C0D" w:rsidRPr="00B47C0D" w:rsidRDefault="00B47C0D" w:rsidP="00B47C0D">
      <w:pPr>
        <w:numPr>
          <w:ilvl w:val="1"/>
          <w:numId w:val="5"/>
        </w:numPr>
        <w:spacing w:before="100" w:beforeAutospacing="1" w:after="180"/>
        <w:ind w:left="1170" w:right="30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47C0D" w:rsidRDefault="00B47C0D" w:rsidP="00B47C0D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III.6) INNE DOKUMENTY</w:t>
      </w:r>
    </w:p>
    <w:p w:rsidR="00A97EE4" w:rsidRPr="00B47C0D" w:rsidRDefault="00A97EE4" w:rsidP="00B47C0D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Inne dokumenty niewymienione w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 III.4) albo w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 III.5)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W celu wykazania braku podstaw do wykluczenia z postępowania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Wykonawcy w okolicznościach, o których mowa w art. 24 ust. 1 ustawy do oferty należy dołączyć: 1)Dokumenty zgodne z art. 26 ust. 2 PZP i wyszczególnione w § 1 ust..1 pkt.3 i 3 ust.1 pkt.1, 2 rozporządzenia Prezesa Rady Ministrów z dnia 19.02.2013 r. w sprawie rodzajów dokumentów, jakich może żądać Zamawiający od Wykonawcy, oraz form w jakich te dokumenty mogą być składane. a) oświadczenie o braku podstaw do wykluczenia - załącznik nr 2 do SIWZ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2) W przypadku podmiotów występujących wspólnie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dokument ustanawiający pełnomocnika do reprezentowania lub reprezentowania i podpisania umowy zgodnie z art. 23 PZP. Pełnomocnictwo winno być złożone w oryginale lub kopii uwierzytelnionej przez notariusza. W przypadku Wykonawców ubiegających się wspólnie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, dokumenty wymienione pkt.3.1.1 SIWZ winien dołączyć każdy podmiot występujący wspólnie w oryginale, a dokumenty z pkt.3.1.1 lit b) SIWZ 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W takim przypadku Wykonawcy ponoszą solidarną odpowiedzialność za wykonanie umowy. Wykonawcy wspólnie ubiegający się o udzielenie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ustanawiają pełnomocnika do reprezentowania ich w postępowaniu albo do reprezentowania ich w postępowaniu i zawarcia umowy w sprawie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publicznego. Wszelka korespondencja będzie prowadzona wyłącznie z pełnomocnikiem. 3) Jeżeli Wykonawca ma siedzibę lub miejsce zamieszkania poza terytorium </w:t>
      </w:r>
      <w:r w:rsidRPr="00B47C0D">
        <w:rPr>
          <w:rFonts w:ascii="Tahoma" w:eastAsia="Times New Roman" w:hAnsi="Tahoma" w:cs="Tahoma"/>
          <w:color w:val="000000"/>
        </w:rPr>
        <w:lastRenderedPageBreak/>
        <w:t xml:space="preserve">Rzeczpospolitej Polskiej, zamiast dokumentów, o których mowa w </w:t>
      </w:r>
      <w:proofErr w:type="spellStart"/>
      <w:r w:rsidRPr="00B47C0D">
        <w:rPr>
          <w:rFonts w:ascii="Tahoma" w:eastAsia="Times New Roman" w:hAnsi="Tahoma" w:cs="Tahoma"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3.1.1, lit b) SIWZ, składa dokument lub dokumenty wystawione w kraju, w którym ma siedzibę lub miejsce zamieszkania, potwierdzające odpowiednio, że: a) nie otwarto jego likwidacji ani nie ogłoszono upadłości, b) nie orzeczono wobec niego zakazu ubiegania się o zamówienie.4) Dokumenty o których mowa w pkt. 3.1.3 lit. a i b SIWZ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B47C0D">
        <w:rPr>
          <w:rFonts w:ascii="Tahoma" w:eastAsia="Times New Roman" w:hAnsi="Tahoma" w:cs="Tahoma"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3.1.1 lit b) SIWZ są składane wraz z tłumaczeniem na język polski. 5) Jeżeli w kraju zamieszkania osoby lub w kraju, w którym Wykonawca ma siedzibę lub miejsce zamieszkania, nie wydaje się dokumentów, o których mowa w ust. 3.1.1.lit b) SIWZ,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6) W celu wykazania spełniania przez Wykonawcę warunków, o których mowa w art. 22 ust. 1 ustawy do oferty należy dołączyć: a) Oświadczenie o spełnieniu warunków określonych w art. 22 ust. 1 PZP - zgodnie z formularzem stanowiącym załącznik nr 2 - I do SIWZ. b)Wykaz wykonanych usług w okresie ostatnich trzech lat przed upływem terminu składania ofert, a jeżeli okres prowadzenia działalności jest krótszy - w tym okresie, głównych usług wraz z podaniem ilości, przedmiotu, dat wykonania i podmiotów, na rzecz których zostały wykonane - załącznik nr 5 do SIWZ. 7) Dowody od poprzednich Zamawiających potwierdzające, że wskazane w załączniku nr 5 usługi zostały wykonane należycie. 8) Dowodami o którym mowa w </w:t>
      </w:r>
      <w:proofErr w:type="spellStart"/>
      <w:r w:rsidRPr="00B47C0D">
        <w:rPr>
          <w:rFonts w:ascii="Tahoma" w:eastAsia="Times New Roman" w:hAnsi="Tahoma" w:cs="Tahoma"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3.2.3 SIWZ może być :a) poświadczenie,</w:t>
      </w:r>
      <w:r>
        <w:rPr>
          <w:rFonts w:ascii="Tahoma" w:eastAsia="Times New Roman" w:hAnsi="Tahoma" w:cs="Tahoma"/>
          <w:color w:val="000000"/>
        </w:rPr>
        <w:t xml:space="preserve"> </w:t>
      </w:r>
      <w:r w:rsidRPr="00B47C0D">
        <w:rPr>
          <w:rFonts w:ascii="Tahoma" w:eastAsia="Times New Roman" w:hAnsi="Tahoma" w:cs="Tahoma"/>
          <w:color w:val="000000"/>
        </w:rPr>
        <w:t xml:space="preserve">b) oświadczenie wykonawcy - jeżeli z uzasadnionych przyczyn o obiektywnym charakterze wykonawca nie jest w stanie uzyskać poświadczenia, o którym mowa w </w:t>
      </w:r>
      <w:proofErr w:type="spellStart"/>
      <w:r w:rsidRPr="00B47C0D">
        <w:rPr>
          <w:rFonts w:ascii="Tahoma" w:eastAsia="Times New Roman" w:hAnsi="Tahoma" w:cs="Tahoma"/>
          <w:color w:val="000000"/>
        </w:rPr>
        <w:t>pkt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a). 9) POZOSTAŁE INNE WYMAGANE DOKUMENTY a) Wypełniony formularz oferty (</w:t>
      </w:r>
      <w:proofErr w:type="spellStart"/>
      <w:r w:rsidRPr="00B47C0D">
        <w:rPr>
          <w:rFonts w:ascii="Tahoma" w:eastAsia="Times New Roman" w:hAnsi="Tahoma" w:cs="Tahoma"/>
          <w:color w:val="000000"/>
        </w:rPr>
        <w:t>wg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. wzoru załącznika nr 1 do SIWZ). b) W zakresie potwierdzenia niepodlegania wykluczeniu z postępowania na podstawie art. 24 ust. 2 pkt. 5 ustawy </w:t>
      </w:r>
      <w:proofErr w:type="spellStart"/>
      <w:r w:rsidRPr="00B47C0D">
        <w:rPr>
          <w:rFonts w:ascii="Tahoma" w:eastAsia="Times New Roman" w:hAnsi="Tahoma" w:cs="Tahoma"/>
          <w:color w:val="000000"/>
        </w:rPr>
        <w:t>pzp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c) Pełnomocnictwo lub inny dokument potwierdzający uprawnienia do podpisywania oferty, jeżeli uprawnienia osoby/osób podpisujących ofertę nie wynikają z przepisów prawa lub złożonych w ofercie dokumentów rejestrowych. Treść pełnomocnictwa powinna jednoznacznie określać czynności do wykonania których pełnomocnik jest upoważniony. Pełnomocnictwo lub inny dokument potwierdzający uprawnienia do podpisywania oferty musi być złożony w oryginale lub kopii uwierzytelnionej przez notariusza. 10) W sytuacji, gdy Wykonawca polega na wiedzy i doświadczeniu innego podmiotu pisemne zobowiązanie tego podmiotu do oddania mu do dyspozycji niezbędnych zasobów na potrzeby wykonywania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>.</w:t>
      </w:r>
    </w:p>
    <w:p w:rsidR="00B47C0D" w:rsidRPr="00B47C0D" w:rsidRDefault="00B47C0D" w:rsidP="00B47C0D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B47C0D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IV.1) TRYB UDZIELENIA ZAMÓWIENIA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>:</w:t>
      </w:r>
      <w:r w:rsidRPr="00B47C0D">
        <w:rPr>
          <w:rFonts w:ascii="Tahoma" w:eastAsia="Times New Roman" w:hAnsi="Tahoma" w:cs="Tahoma"/>
          <w:color w:val="000000"/>
        </w:rPr>
        <w:t xml:space="preserve"> przetarg nieograniczony.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IV.2) KRYTERIA OCENY OFERT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IV.2.1) Kryteria oceny ofert:</w:t>
      </w:r>
      <w:r w:rsidRPr="00B47C0D">
        <w:rPr>
          <w:rFonts w:ascii="Tahoma" w:eastAsia="Times New Roman" w:hAnsi="Tahoma" w:cs="Tahoma"/>
          <w:color w:val="000000"/>
        </w:rPr>
        <w:t xml:space="preserve"> cena oraz inne kryteria związane z przedmiotem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>:</w:t>
      </w:r>
    </w:p>
    <w:p w:rsidR="00B47C0D" w:rsidRPr="00B47C0D" w:rsidRDefault="00B47C0D" w:rsidP="00B47C0D">
      <w:pPr>
        <w:numPr>
          <w:ilvl w:val="0"/>
          <w:numId w:val="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1. Cena - 70 </w:t>
      </w:r>
    </w:p>
    <w:p w:rsidR="00B47C0D" w:rsidRPr="00B47C0D" w:rsidRDefault="00B47C0D" w:rsidP="00B47C0D">
      <w:pPr>
        <w:numPr>
          <w:ilvl w:val="0"/>
          <w:numId w:val="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2. Ilość projektów graficznych - 20 </w:t>
      </w:r>
    </w:p>
    <w:p w:rsidR="00B47C0D" w:rsidRPr="00B47C0D" w:rsidRDefault="00B47C0D" w:rsidP="00B47C0D">
      <w:pPr>
        <w:numPr>
          <w:ilvl w:val="0"/>
          <w:numId w:val="6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 xml:space="preserve">3. termin dostawy - 10 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IV.2.2)</w:t>
      </w:r>
      <w:r w:rsidRPr="00B47C0D">
        <w:rPr>
          <w:rFonts w:ascii="Tahoma" w:eastAsia="Times New Roman" w:hAnsi="Tahoma" w:cs="Tahoma"/>
          <w:color w:val="000000"/>
        </w:rPr>
        <w:t xml:space="preserve"> </w:t>
      </w: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B47C0D" w:rsidRPr="00B47C0D">
        <w:trPr>
          <w:tblCellSpacing w:w="15" w:type="dxa"/>
          <w:jc w:val="center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  <w:r w:rsidRPr="00B47C0D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C0D" w:rsidRPr="00B47C0D" w:rsidRDefault="00B47C0D" w:rsidP="00B47C0D">
            <w:pPr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B47C0D">
              <w:rPr>
                <w:rFonts w:ascii="Tahoma" w:eastAsia="Times New Roman" w:hAnsi="Tahoma" w:cs="Tahoma"/>
                <w:b/>
                <w:bCs/>
                <w:color w:val="000000"/>
              </w:rPr>
              <w:t>przeprowadzona będzie aukcja elektroniczna,</w:t>
            </w:r>
            <w:r w:rsidRPr="00B47C0D">
              <w:rPr>
                <w:rFonts w:ascii="Tahoma" w:eastAsia="Times New Roman" w:hAnsi="Tahoma" w:cs="Tahoma"/>
                <w:color w:val="000000"/>
              </w:rPr>
              <w:t xml:space="preserve"> adres strony, na której będzie prowadzona: </w:t>
            </w:r>
          </w:p>
        </w:tc>
      </w:tr>
    </w:tbl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IV.3) ZMIANA UMOWY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przewiduje się istotne zmiany postanowień zawartej umowy w stosunku do treści oferty, na podstawie której dokonano wyboru wykonawcy: 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Dopuszczalne zmiany postanowień umowy oraz określenie warunków zmian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color w:val="000000"/>
        </w:rPr>
        <w:t>Zamawiający nie przewiduje istotnych zmian umowy w stosunku do treści oferty Wykonawcy.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IV.4) INFORMACJE ADMINISTRACYJNE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IV.4.1)</w:t>
      </w:r>
      <w:r w:rsidRPr="00B47C0D">
        <w:rPr>
          <w:rFonts w:ascii="Tahoma" w:eastAsia="Times New Roman" w:hAnsi="Tahoma" w:cs="Tahoma"/>
          <w:color w:val="000000"/>
        </w:rPr>
        <w:t xml:space="preserve">  </w:t>
      </w:r>
      <w:r w:rsidRPr="00B47C0D">
        <w:rPr>
          <w:rFonts w:ascii="Tahoma" w:eastAsia="Times New Roman" w:hAnsi="Tahoma" w:cs="Tahoma"/>
          <w:b/>
          <w:bCs/>
          <w:color w:val="000000"/>
        </w:rPr>
        <w:t>Adres strony internetowej, na której jest dostępna specyfikacja istotnych warunków zamówienia:</w:t>
      </w:r>
      <w:r w:rsidRPr="00B47C0D">
        <w:rPr>
          <w:rFonts w:ascii="Tahoma" w:eastAsia="Times New Roman" w:hAnsi="Tahoma" w:cs="Tahoma"/>
          <w:color w:val="000000"/>
        </w:rPr>
        <w:t>www.dwup.pl</w:t>
      </w:r>
      <w:r w:rsidRPr="00B47C0D">
        <w:rPr>
          <w:rFonts w:ascii="Tahoma" w:eastAsia="Times New Roman" w:hAnsi="Tahoma" w:cs="Tahoma"/>
          <w:color w:val="000000"/>
        </w:rPr>
        <w:br/>
      </w:r>
      <w:r w:rsidRPr="00B47C0D">
        <w:rPr>
          <w:rFonts w:ascii="Tahoma" w:eastAsia="Times New Roman" w:hAnsi="Tahoma" w:cs="Tahoma"/>
          <w:b/>
          <w:bCs/>
          <w:color w:val="000000"/>
        </w:rPr>
        <w:lastRenderedPageBreak/>
        <w:t xml:space="preserve">Specyfikację istotnych warunków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 można uzyskać pod adresem:</w:t>
      </w:r>
      <w:r w:rsidRPr="00B47C0D">
        <w:rPr>
          <w:rFonts w:ascii="Tahoma" w:eastAsia="Times New Roman" w:hAnsi="Tahoma" w:cs="Tahoma"/>
          <w:color w:val="000000"/>
        </w:rPr>
        <w:t xml:space="preserve"> Dolnośląski Wojewódzki Urząd Pracy Al. Armii Krajo</w:t>
      </w:r>
      <w:r w:rsidR="00A97EE4">
        <w:rPr>
          <w:rFonts w:ascii="Tahoma" w:eastAsia="Times New Roman" w:hAnsi="Tahoma" w:cs="Tahoma"/>
          <w:color w:val="000000"/>
        </w:rPr>
        <w:t>wej 54 50-541 Wrocław, pok.314.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IV.4.4) Termin składania wniosków o dopuszczenie do udziału w postępowaniu lub ofert:</w:t>
      </w:r>
      <w:r w:rsidRPr="00B47C0D">
        <w:rPr>
          <w:rFonts w:ascii="Tahoma" w:eastAsia="Times New Roman" w:hAnsi="Tahoma" w:cs="Tahoma"/>
          <w:color w:val="000000"/>
        </w:rPr>
        <w:t xml:space="preserve"> 25.01.2016 godzina 11:00, miejsce: Dolnośląski Wojewódzki Urząd Pracy Al. Armii Krajowej 54 50-541 Wrocław, </w:t>
      </w:r>
      <w:proofErr w:type="spellStart"/>
      <w:r w:rsidRPr="00B47C0D">
        <w:rPr>
          <w:rFonts w:ascii="Tahoma" w:eastAsia="Times New Roman" w:hAnsi="Tahoma" w:cs="Tahoma"/>
          <w:color w:val="000000"/>
        </w:rPr>
        <w:t>kancelaria</w:t>
      </w:r>
      <w:proofErr w:type="spellEnd"/>
      <w:r w:rsidRPr="00B47C0D">
        <w:rPr>
          <w:rFonts w:ascii="Tahoma" w:eastAsia="Times New Roman" w:hAnsi="Tahoma" w:cs="Tahoma"/>
          <w:color w:val="000000"/>
        </w:rPr>
        <w:t>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IV.4.5) Termin związania ofertą:</w:t>
      </w:r>
      <w:r w:rsidRPr="00B47C0D">
        <w:rPr>
          <w:rFonts w:ascii="Tahoma" w:eastAsia="Times New Roman" w:hAnsi="Tahoma" w:cs="Tahoma"/>
          <w:color w:val="000000"/>
        </w:rPr>
        <w:t xml:space="preserve"> okres w dniach: 30 (od ostatecznego terminu składania ofert).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B47C0D">
        <w:rPr>
          <w:rFonts w:ascii="Tahoma" w:eastAsia="Times New Roman" w:hAnsi="Tahoma" w:cs="Tahoma"/>
          <w:color w:val="000000"/>
        </w:rPr>
        <w:t xml:space="preserve"> Przedmiot </w:t>
      </w:r>
      <w:proofErr w:type="spellStart"/>
      <w:r w:rsidRPr="00B47C0D">
        <w:rPr>
          <w:rFonts w:ascii="Tahoma" w:eastAsia="Times New Roman" w:hAnsi="Tahoma" w:cs="Tahoma"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color w:val="000000"/>
        </w:rPr>
        <w:t xml:space="preserve"> jest realizowany w ramach projektu Pomoc Techniczna PO WER dla DWUP na rok 2016 i jest współfinansowany przez Unię Europejską ze środków Euro</w:t>
      </w:r>
      <w:r w:rsidR="00A97EE4">
        <w:rPr>
          <w:rFonts w:ascii="Tahoma" w:eastAsia="Times New Roman" w:hAnsi="Tahoma" w:cs="Tahoma"/>
          <w:color w:val="000000"/>
        </w:rPr>
        <w:t>pejskiego Funduszu Społecznego.</w:t>
      </w:r>
    </w:p>
    <w:p w:rsidR="00B47C0D" w:rsidRPr="00B47C0D" w:rsidRDefault="00B47C0D" w:rsidP="00B47C0D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B47C0D">
        <w:rPr>
          <w:rFonts w:ascii="Tahoma" w:eastAsia="Times New Roman" w:hAnsi="Tahoma" w:cs="Tahoma"/>
          <w:b/>
          <w:bCs/>
          <w:color w:val="000000"/>
        </w:rPr>
        <w:t xml:space="preserve">IV.4.17) Czy przewiduje się unieważnienie postępowania o udzielenie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B47C0D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B47C0D">
        <w:rPr>
          <w:rFonts w:ascii="Tahoma" w:eastAsia="Times New Roman" w:hAnsi="Tahoma" w:cs="Tahoma"/>
          <w:b/>
          <w:bCs/>
          <w:color w:val="000000"/>
        </w:rPr>
        <w:t xml:space="preserve">: </w:t>
      </w:r>
      <w:r w:rsidRPr="00B47C0D">
        <w:rPr>
          <w:rFonts w:ascii="Tahoma" w:eastAsia="Times New Roman" w:hAnsi="Tahoma" w:cs="Tahoma"/>
          <w:color w:val="000000"/>
        </w:rPr>
        <w:t>nie</w:t>
      </w:r>
    </w:p>
    <w:p w:rsidR="00B47C0D" w:rsidRPr="00B47C0D" w:rsidRDefault="00B47C0D" w:rsidP="00B47C0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sectPr w:rsidR="00B47C0D" w:rsidRPr="00B47C0D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7D" w:rsidRDefault="00816B7D">
      <w:r>
        <w:separator/>
      </w:r>
    </w:p>
  </w:endnote>
  <w:endnote w:type="continuationSeparator" w:id="0">
    <w:p w:rsidR="00816B7D" w:rsidRDefault="0081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816B7D" w:rsidRDefault="009E719D">
        <w:pPr>
          <w:pStyle w:val="Stopka"/>
          <w:jc w:val="right"/>
        </w:pPr>
        <w:fldSimple w:instr=" PAGE   \* MERGEFORMAT ">
          <w:r w:rsidR="00BF5DE7">
            <w:rPr>
              <w:noProof/>
            </w:rPr>
            <w:t>5</w:t>
          </w:r>
        </w:fldSimple>
      </w:p>
    </w:sdtContent>
  </w:sdt>
  <w:p w:rsidR="00816B7D" w:rsidRDefault="00816B7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D" w:rsidRDefault="009E719D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816B7D" w:rsidRDefault="00816B7D">
    <w:pPr>
      <w:pStyle w:val="Stopka"/>
    </w:pPr>
  </w:p>
  <w:p w:rsidR="00816B7D" w:rsidRDefault="00816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7D" w:rsidRDefault="00816B7D">
      <w:r>
        <w:separator/>
      </w:r>
    </w:p>
  </w:footnote>
  <w:footnote w:type="continuationSeparator" w:id="0">
    <w:p w:rsidR="00816B7D" w:rsidRDefault="0081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D" w:rsidRDefault="00816B7D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719D" w:rsidRPr="009E719D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9E719D" w:rsidRPr="009E719D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816B7D" w:rsidRDefault="00816B7D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816B7D" w:rsidRPr="009D42E3" w:rsidRDefault="00816B7D" w:rsidP="009D42E3">
    <w:pPr>
      <w:spacing w:after="40"/>
      <w:ind w:left="567"/>
      <w:jc w:val="center"/>
    </w:pPr>
  </w:p>
  <w:p w:rsidR="00816B7D" w:rsidRPr="00861A4F" w:rsidRDefault="00816B7D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816B7D" w:rsidRPr="0087778E" w:rsidRDefault="00816B7D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816B7D" w:rsidRPr="003E2807" w:rsidRDefault="00816B7D" w:rsidP="003E2807">
    <w:pPr>
      <w:pStyle w:val="Nagwek3"/>
      <w:ind w:left="567"/>
      <w:jc w:val="center"/>
      <w:rPr>
        <w:sz w:val="14"/>
      </w:rPr>
    </w:pPr>
  </w:p>
  <w:p w:rsidR="00816B7D" w:rsidRPr="000C4950" w:rsidRDefault="00816B7D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65E"/>
    <w:multiLevelType w:val="multilevel"/>
    <w:tmpl w:val="7E1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12DC"/>
    <w:multiLevelType w:val="multilevel"/>
    <w:tmpl w:val="6DD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22EA"/>
    <w:multiLevelType w:val="multilevel"/>
    <w:tmpl w:val="421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A5EB9"/>
    <w:multiLevelType w:val="multilevel"/>
    <w:tmpl w:val="323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735A0"/>
    <w:multiLevelType w:val="multilevel"/>
    <w:tmpl w:val="CEB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76C0B"/>
    <w:multiLevelType w:val="multilevel"/>
    <w:tmpl w:val="596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5C0A"/>
    <w:rsid w:val="0000613F"/>
    <w:rsid w:val="00011F67"/>
    <w:rsid w:val="00012300"/>
    <w:rsid w:val="000158BC"/>
    <w:rsid w:val="00017041"/>
    <w:rsid w:val="000279E7"/>
    <w:rsid w:val="00027CF4"/>
    <w:rsid w:val="000332C3"/>
    <w:rsid w:val="0003694F"/>
    <w:rsid w:val="0004349C"/>
    <w:rsid w:val="00053390"/>
    <w:rsid w:val="00055EFB"/>
    <w:rsid w:val="00056A89"/>
    <w:rsid w:val="00057479"/>
    <w:rsid w:val="0006001C"/>
    <w:rsid w:val="0006449D"/>
    <w:rsid w:val="00065E3A"/>
    <w:rsid w:val="00066CE3"/>
    <w:rsid w:val="00070821"/>
    <w:rsid w:val="000750AB"/>
    <w:rsid w:val="000764BF"/>
    <w:rsid w:val="000845FB"/>
    <w:rsid w:val="00090D37"/>
    <w:rsid w:val="00092F07"/>
    <w:rsid w:val="00093F18"/>
    <w:rsid w:val="00094CAC"/>
    <w:rsid w:val="000951CA"/>
    <w:rsid w:val="000A0E2C"/>
    <w:rsid w:val="000A56E1"/>
    <w:rsid w:val="000B3070"/>
    <w:rsid w:val="000B7064"/>
    <w:rsid w:val="000C2C05"/>
    <w:rsid w:val="000C4950"/>
    <w:rsid w:val="000C5680"/>
    <w:rsid w:val="000C6200"/>
    <w:rsid w:val="000D6AED"/>
    <w:rsid w:val="000E0A29"/>
    <w:rsid w:val="000E2112"/>
    <w:rsid w:val="000E3214"/>
    <w:rsid w:val="000E58E8"/>
    <w:rsid w:val="000F215E"/>
    <w:rsid w:val="00101CC8"/>
    <w:rsid w:val="0010398F"/>
    <w:rsid w:val="0010513D"/>
    <w:rsid w:val="00105621"/>
    <w:rsid w:val="00110D2F"/>
    <w:rsid w:val="00111D22"/>
    <w:rsid w:val="00114802"/>
    <w:rsid w:val="00132104"/>
    <w:rsid w:val="00135F6E"/>
    <w:rsid w:val="00137C16"/>
    <w:rsid w:val="001411FB"/>
    <w:rsid w:val="00142CC6"/>
    <w:rsid w:val="001456FA"/>
    <w:rsid w:val="001505C0"/>
    <w:rsid w:val="001509EF"/>
    <w:rsid w:val="001527E7"/>
    <w:rsid w:val="00153960"/>
    <w:rsid w:val="00154050"/>
    <w:rsid w:val="00163320"/>
    <w:rsid w:val="00172CF0"/>
    <w:rsid w:val="00175969"/>
    <w:rsid w:val="00175A3E"/>
    <w:rsid w:val="00175D48"/>
    <w:rsid w:val="00175D54"/>
    <w:rsid w:val="00176C0E"/>
    <w:rsid w:val="0018091E"/>
    <w:rsid w:val="00185A4D"/>
    <w:rsid w:val="00187D43"/>
    <w:rsid w:val="001A7C73"/>
    <w:rsid w:val="001C1218"/>
    <w:rsid w:val="001C40F9"/>
    <w:rsid w:val="001D1276"/>
    <w:rsid w:val="001D3888"/>
    <w:rsid w:val="001D38B1"/>
    <w:rsid w:val="001D46DD"/>
    <w:rsid w:val="001D5AE7"/>
    <w:rsid w:val="001E41B9"/>
    <w:rsid w:val="001F319C"/>
    <w:rsid w:val="001F51EE"/>
    <w:rsid w:val="0020076B"/>
    <w:rsid w:val="00205359"/>
    <w:rsid w:val="00212019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422C3"/>
    <w:rsid w:val="00252A94"/>
    <w:rsid w:val="00253CBD"/>
    <w:rsid w:val="0026031C"/>
    <w:rsid w:val="0026133E"/>
    <w:rsid w:val="0026361E"/>
    <w:rsid w:val="00264D8A"/>
    <w:rsid w:val="00267028"/>
    <w:rsid w:val="00274507"/>
    <w:rsid w:val="00280C97"/>
    <w:rsid w:val="00282F42"/>
    <w:rsid w:val="00283145"/>
    <w:rsid w:val="00286918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207C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14F2"/>
    <w:rsid w:val="002F3236"/>
    <w:rsid w:val="002F3B36"/>
    <w:rsid w:val="002F5B26"/>
    <w:rsid w:val="002F64A1"/>
    <w:rsid w:val="003011BC"/>
    <w:rsid w:val="00301209"/>
    <w:rsid w:val="003035E4"/>
    <w:rsid w:val="00310559"/>
    <w:rsid w:val="003133BE"/>
    <w:rsid w:val="00315617"/>
    <w:rsid w:val="0031700D"/>
    <w:rsid w:val="003210BE"/>
    <w:rsid w:val="00323BEB"/>
    <w:rsid w:val="003269C6"/>
    <w:rsid w:val="003328AD"/>
    <w:rsid w:val="00334503"/>
    <w:rsid w:val="00335BF7"/>
    <w:rsid w:val="00336865"/>
    <w:rsid w:val="00337108"/>
    <w:rsid w:val="0033785F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A5BBB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68E3"/>
    <w:rsid w:val="003F7DE4"/>
    <w:rsid w:val="00403932"/>
    <w:rsid w:val="00407176"/>
    <w:rsid w:val="00407BF4"/>
    <w:rsid w:val="004104CE"/>
    <w:rsid w:val="0041161A"/>
    <w:rsid w:val="00414342"/>
    <w:rsid w:val="00417FC1"/>
    <w:rsid w:val="0042383C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77DB1"/>
    <w:rsid w:val="004828E3"/>
    <w:rsid w:val="0049223B"/>
    <w:rsid w:val="00492C1B"/>
    <w:rsid w:val="00493689"/>
    <w:rsid w:val="004A3CD6"/>
    <w:rsid w:val="004A719E"/>
    <w:rsid w:val="004A77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E2A81"/>
    <w:rsid w:val="004E455F"/>
    <w:rsid w:val="004F4473"/>
    <w:rsid w:val="004F45B8"/>
    <w:rsid w:val="004F60C3"/>
    <w:rsid w:val="00505B81"/>
    <w:rsid w:val="00505CDA"/>
    <w:rsid w:val="00505DB9"/>
    <w:rsid w:val="005132A9"/>
    <w:rsid w:val="00515FAF"/>
    <w:rsid w:val="0051669B"/>
    <w:rsid w:val="00516FA6"/>
    <w:rsid w:val="00520DFD"/>
    <w:rsid w:val="00520F76"/>
    <w:rsid w:val="00521973"/>
    <w:rsid w:val="005250DF"/>
    <w:rsid w:val="00530EB9"/>
    <w:rsid w:val="00531709"/>
    <w:rsid w:val="00533DFD"/>
    <w:rsid w:val="00542201"/>
    <w:rsid w:val="005422D4"/>
    <w:rsid w:val="00542BC4"/>
    <w:rsid w:val="00543819"/>
    <w:rsid w:val="00543EBE"/>
    <w:rsid w:val="00545667"/>
    <w:rsid w:val="00551C6B"/>
    <w:rsid w:val="00554FAF"/>
    <w:rsid w:val="00564938"/>
    <w:rsid w:val="00572372"/>
    <w:rsid w:val="00574AE0"/>
    <w:rsid w:val="00575CA8"/>
    <w:rsid w:val="00576A68"/>
    <w:rsid w:val="0057702D"/>
    <w:rsid w:val="00582CCF"/>
    <w:rsid w:val="0058647D"/>
    <w:rsid w:val="005905ED"/>
    <w:rsid w:val="00590EE2"/>
    <w:rsid w:val="00592657"/>
    <w:rsid w:val="00592A2A"/>
    <w:rsid w:val="005966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C4AD4"/>
    <w:rsid w:val="005D1691"/>
    <w:rsid w:val="005D2C74"/>
    <w:rsid w:val="005D4587"/>
    <w:rsid w:val="005E5856"/>
    <w:rsid w:val="005E5E66"/>
    <w:rsid w:val="005F0343"/>
    <w:rsid w:val="005F2374"/>
    <w:rsid w:val="005F3A3A"/>
    <w:rsid w:val="005F5A95"/>
    <w:rsid w:val="00601531"/>
    <w:rsid w:val="006044FC"/>
    <w:rsid w:val="0060620D"/>
    <w:rsid w:val="006067CF"/>
    <w:rsid w:val="00607774"/>
    <w:rsid w:val="006109D8"/>
    <w:rsid w:val="00614F14"/>
    <w:rsid w:val="00614FDA"/>
    <w:rsid w:val="00616A3D"/>
    <w:rsid w:val="00617478"/>
    <w:rsid w:val="00621775"/>
    <w:rsid w:val="00621A35"/>
    <w:rsid w:val="0062246B"/>
    <w:rsid w:val="00623168"/>
    <w:rsid w:val="0062360F"/>
    <w:rsid w:val="00626074"/>
    <w:rsid w:val="00630773"/>
    <w:rsid w:val="00631109"/>
    <w:rsid w:val="00632E54"/>
    <w:rsid w:val="00633A60"/>
    <w:rsid w:val="00633AD2"/>
    <w:rsid w:val="0063695F"/>
    <w:rsid w:val="00640A74"/>
    <w:rsid w:val="00645ED8"/>
    <w:rsid w:val="00647F71"/>
    <w:rsid w:val="00650E8C"/>
    <w:rsid w:val="0065421D"/>
    <w:rsid w:val="006570A7"/>
    <w:rsid w:val="00657EBA"/>
    <w:rsid w:val="00670697"/>
    <w:rsid w:val="006842CD"/>
    <w:rsid w:val="006847FC"/>
    <w:rsid w:val="00692674"/>
    <w:rsid w:val="00694C77"/>
    <w:rsid w:val="006A133C"/>
    <w:rsid w:val="006A289F"/>
    <w:rsid w:val="006A2B77"/>
    <w:rsid w:val="006A37FA"/>
    <w:rsid w:val="006A4F34"/>
    <w:rsid w:val="006B0274"/>
    <w:rsid w:val="006B24C4"/>
    <w:rsid w:val="006B2920"/>
    <w:rsid w:val="006B41AC"/>
    <w:rsid w:val="006C220E"/>
    <w:rsid w:val="006C3CD3"/>
    <w:rsid w:val="006C51CF"/>
    <w:rsid w:val="006C5948"/>
    <w:rsid w:val="006C6547"/>
    <w:rsid w:val="006D05B0"/>
    <w:rsid w:val="006D0AE2"/>
    <w:rsid w:val="006E0E95"/>
    <w:rsid w:val="006E175E"/>
    <w:rsid w:val="006E424F"/>
    <w:rsid w:val="006E4356"/>
    <w:rsid w:val="006F2B64"/>
    <w:rsid w:val="006F5548"/>
    <w:rsid w:val="00701551"/>
    <w:rsid w:val="007056E9"/>
    <w:rsid w:val="00710CFF"/>
    <w:rsid w:val="007117C0"/>
    <w:rsid w:val="00716BEA"/>
    <w:rsid w:val="00724146"/>
    <w:rsid w:val="00727AA7"/>
    <w:rsid w:val="00731B7F"/>
    <w:rsid w:val="00735B2D"/>
    <w:rsid w:val="0073768D"/>
    <w:rsid w:val="007436FF"/>
    <w:rsid w:val="00755390"/>
    <w:rsid w:val="007607B8"/>
    <w:rsid w:val="00761F38"/>
    <w:rsid w:val="00764E41"/>
    <w:rsid w:val="00766CBA"/>
    <w:rsid w:val="007776F9"/>
    <w:rsid w:val="007864EC"/>
    <w:rsid w:val="00790325"/>
    <w:rsid w:val="007919B2"/>
    <w:rsid w:val="00791F7F"/>
    <w:rsid w:val="007926F1"/>
    <w:rsid w:val="00796D29"/>
    <w:rsid w:val="007977C5"/>
    <w:rsid w:val="007A2EB5"/>
    <w:rsid w:val="007A6F20"/>
    <w:rsid w:val="007B03C2"/>
    <w:rsid w:val="007B22A4"/>
    <w:rsid w:val="007B3403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5EE5"/>
    <w:rsid w:val="007F5F4A"/>
    <w:rsid w:val="007F677F"/>
    <w:rsid w:val="008020E4"/>
    <w:rsid w:val="00802401"/>
    <w:rsid w:val="008037BD"/>
    <w:rsid w:val="00805F8E"/>
    <w:rsid w:val="00805F93"/>
    <w:rsid w:val="0081053A"/>
    <w:rsid w:val="00810E42"/>
    <w:rsid w:val="008123DB"/>
    <w:rsid w:val="00812A6A"/>
    <w:rsid w:val="008168CC"/>
    <w:rsid w:val="00816B7D"/>
    <w:rsid w:val="00821851"/>
    <w:rsid w:val="0082286F"/>
    <w:rsid w:val="00822C38"/>
    <w:rsid w:val="008258F1"/>
    <w:rsid w:val="0082779E"/>
    <w:rsid w:val="00833CF4"/>
    <w:rsid w:val="00835557"/>
    <w:rsid w:val="00840D8A"/>
    <w:rsid w:val="0084478D"/>
    <w:rsid w:val="00861A4F"/>
    <w:rsid w:val="00862B6E"/>
    <w:rsid w:val="008631B8"/>
    <w:rsid w:val="008648C4"/>
    <w:rsid w:val="00865FFC"/>
    <w:rsid w:val="00866400"/>
    <w:rsid w:val="0087279B"/>
    <w:rsid w:val="00872E1E"/>
    <w:rsid w:val="0087340B"/>
    <w:rsid w:val="00873FC5"/>
    <w:rsid w:val="00876422"/>
    <w:rsid w:val="008768D8"/>
    <w:rsid w:val="0087778E"/>
    <w:rsid w:val="00877D47"/>
    <w:rsid w:val="008823DD"/>
    <w:rsid w:val="00885130"/>
    <w:rsid w:val="00893E78"/>
    <w:rsid w:val="00895A3C"/>
    <w:rsid w:val="00897A68"/>
    <w:rsid w:val="008A066C"/>
    <w:rsid w:val="008A1B82"/>
    <w:rsid w:val="008A314B"/>
    <w:rsid w:val="008A48B8"/>
    <w:rsid w:val="008A537C"/>
    <w:rsid w:val="008A55AD"/>
    <w:rsid w:val="008B2FE9"/>
    <w:rsid w:val="008B741F"/>
    <w:rsid w:val="008C4678"/>
    <w:rsid w:val="008D05FF"/>
    <w:rsid w:val="008D183E"/>
    <w:rsid w:val="008E3C16"/>
    <w:rsid w:val="008E7340"/>
    <w:rsid w:val="008F1113"/>
    <w:rsid w:val="008F2807"/>
    <w:rsid w:val="008F6745"/>
    <w:rsid w:val="00903E7E"/>
    <w:rsid w:val="0090735F"/>
    <w:rsid w:val="00910C2A"/>
    <w:rsid w:val="0091408C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28DD"/>
    <w:rsid w:val="00937AF2"/>
    <w:rsid w:val="00941E33"/>
    <w:rsid w:val="0094333B"/>
    <w:rsid w:val="00960387"/>
    <w:rsid w:val="0096402F"/>
    <w:rsid w:val="0097198F"/>
    <w:rsid w:val="00972BE2"/>
    <w:rsid w:val="00972D8E"/>
    <w:rsid w:val="00974C17"/>
    <w:rsid w:val="0097617A"/>
    <w:rsid w:val="009762FD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0DF8"/>
    <w:rsid w:val="009B194D"/>
    <w:rsid w:val="009B1A18"/>
    <w:rsid w:val="009B4327"/>
    <w:rsid w:val="009B471B"/>
    <w:rsid w:val="009B5887"/>
    <w:rsid w:val="009B7A6D"/>
    <w:rsid w:val="009C23FC"/>
    <w:rsid w:val="009D0D42"/>
    <w:rsid w:val="009D35AB"/>
    <w:rsid w:val="009D3C1B"/>
    <w:rsid w:val="009D42E3"/>
    <w:rsid w:val="009E3076"/>
    <w:rsid w:val="009E3E48"/>
    <w:rsid w:val="009E719D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5E97"/>
    <w:rsid w:val="00A26EF2"/>
    <w:rsid w:val="00A271D7"/>
    <w:rsid w:val="00A361C0"/>
    <w:rsid w:val="00A36E7E"/>
    <w:rsid w:val="00A47B55"/>
    <w:rsid w:val="00A52728"/>
    <w:rsid w:val="00A539EA"/>
    <w:rsid w:val="00A5504A"/>
    <w:rsid w:val="00A568FC"/>
    <w:rsid w:val="00A574FC"/>
    <w:rsid w:val="00A607D8"/>
    <w:rsid w:val="00A6298A"/>
    <w:rsid w:val="00A65868"/>
    <w:rsid w:val="00A74F9B"/>
    <w:rsid w:val="00A76180"/>
    <w:rsid w:val="00A81CA7"/>
    <w:rsid w:val="00A87DFB"/>
    <w:rsid w:val="00A91F84"/>
    <w:rsid w:val="00A947D7"/>
    <w:rsid w:val="00A95E2C"/>
    <w:rsid w:val="00A97742"/>
    <w:rsid w:val="00A97EE4"/>
    <w:rsid w:val="00AB2129"/>
    <w:rsid w:val="00AD5996"/>
    <w:rsid w:val="00AD7731"/>
    <w:rsid w:val="00AE1EE9"/>
    <w:rsid w:val="00AE43E3"/>
    <w:rsid w:val="00AF0618"/>
    <w:rsid w:val="00AF2DC2"/>
    <w:rsid w:val="00AF5DE7"/>
    <w:rsid w:val="00AF7C0E"/>
    <w:rsid w:val="00AF7F06"/>
    <w:rsid w:val="00B00670"/>
    <w:rsid w:val="00B01023"/>
    <w:rsid w:val="00B044CB"/>
    <w:rsid w:val="00B04756"/>
    <w:rsid w:val="00B06687"/>
    <w:rsid w:val="00B166EE"/>
    <w:rsid w:val="00B16E38"/>
    <w:rsid w:val="00B17252"/>
    <w:rsid w:val="00B17498"/>
    <w:rsid w:val="00B21517"/>
    <w:rsid w:val="00B22330"/>
    <w:rsid w:val="00B366BF"/>
    <w:rsid w:val="00B369FA"/>
    <w:rsid w:val="00B36C06"/>
    <w:rsid w:val="00B43931"/>
    <w:rsid w:val="00B447AE"/>
    <w:rsid w:val="00B47C0D"/>
    <w:rsid w:val="00B506F9"/>
    <w:rsid w:val="00B52684"/>
    <w:rsid w:val="00B546F3"/>
    <w:rsid w:val="00B550F2"/>
    <w:rsid w:val="00B76263"/>
    <w:rsid w:val="00B76ED2"/>
    <w:rsid w:val="00B771B4"/>
    <w:rsid w:val="00B775A9"/>
    <w:rsid w:val="00B8349A"/>
    <w:rsid w:val="00B83C00"/>
    <w:rsid w:val="00B87A1A"/>
    <w:rsid w:val="00B97E36"/>
    <w:rsid w:val="00BA112E"/>
    <w:rsid w:val="00BA47FD"/>
    <w:rsid w:val="00BB0E33"/>
    <w:rsid w:val="00BB3870"/>
    <w:rsid w:val="00BC0548"/>
    <w:rsid w:val="00BC59EC"/>
    <w:rsid w:val="00BD1AC9"/>
    <w:rsid w:val="00BD3A7E"/>
    <w:rsid w:val="00BD5024"/>
    <w:rsid w:val="00BE0319"/>
    <w:rsid w:val="00BE484A"/>
    <w:rsid w:val="00BF5DE7"/>
    <w:rsid w:val="00C036EA"/>
    <w:rsid w:val="00C04C60"/>
    <w:rsid w:val="00C10651"/>
    <w:rsid w:val="00C112EE"/>
    <w:rsid w:val="00C17440"/>
    <w:rsid w:val="00C22767"/>
    <w:rsid w:val="00C2308A"/>
    <w:rsid w:val="00C25334"/>
    <w:rsid w:val="00C35F15"/>
    <w:rsid w:val="00C40A87"/>
    <w:rsid w:val="00C4340C"/>
    <w:rsid w:val="00C4472B"/>
    <w:rsid w:val="00C51C2E"/>
    <w:rsid w:val="00C574E7"/>
    <w:rsid w:val="00C60A07"/>
    <w:rsid w:val="00C63B67"/>
    <w:rsid w:val="00C70513"/>
    <w:rsid w:val="00C73F15"/>
    <w:rsid w:val="00C74B96"/>
    <w:rsid w:val="00C764E5"/>
    <w:rsid w:val="00C77614"/>
    <w:rsid w:val="00C8373B"/>
    <w:rsid w:val="00C90E9D"/>
    <w:rsid w:val="00C934F3"/>
    <w:rsid w:val="00C95793"/>
    <w:rsid w:val="00C95F75"/>
    <w:rsid w:val="00C97562"/>
    <w:rsid w:val="00CA5DFB"/>
    <w:rsid w:val="00CB20CD"/>
    <w:rsid w:val="00CB4992"/>
    <w:rsid w:val="00CB685A"/>
    <w:rsid w:val="00CC2324"/>
    <w:rsid w:val="00CC3644"/>
    <w:rsid w:val="00CC3C9F"/>
    <w:rsid w:val="00CC560B"/>
    <w:rsid w:val="00CC6136"/>
    <w:rsid w:val="00CD0388"/>
    <w:rsid w:val="00CD50CE"/>
    <w:rsid w:val="00CD572B"/>
    <w:rsid w:val="00CE062D"/>
    <w:rsid w:val="00CE3CCC"/>
    <w:rsid w:val="00CE5C79"/>
    <w:rsid w:val="00CE6687"/>
    <w:rsid w:val="00CF6BEE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256E"/>
    <w:rsid w:val="00D533F2"/>
    <w:rsid w:val="00D56A51"/>
    <w:rsid w:val="00D570C0"/>
    <w:rsid w:val="00D60AFC"/>
    <w:rsid w:val="00D6340B"/>
    <w:rsid w:val="00D63651"/>
    <w:rsid w:val="00D654C4"/>
    <w:rsid w:val="00D80041"/>
    <w:rsid w:val="00D8007E"/>
    <w:rsid w:val="00D81C56"/>
    <w:rsid w:val="00D81C61"/>
    <w:rsid w:val="00D860A8"/>
    <w:rsid w:val="00D93886"/>
    <w:rsid w:val="00D952C9"/>
    <w:rsid w:val="00D96300"/>
    <w:rsid w:val="00DA4116"/>
    <w:rsid w:val="00DB076A"/>
    <w:rsid w:val="00DC2A76"/>
    <w:rsid w:val="00DD0166"/>
    <w:rsid w:val="00DD29E8"/>
    <w:rsid w:val="00DD4F57"/>
    <w:rsid w:val="00DE0F58"/>
    <w:rsid w:val="00DE1517"/>
    <w:rsid w:val="00DE4442"/>
    <w:rsid w:val="00DE58B9"/>
    <w:rsid w:val="00DF05A1"/>
    <w:rsid w:val="00DF37B4"/>
    <w:rsid w:val="00DF5C5F"/>
    <w:rsid w:val="00E01418"/>
    <w:rsid w:val="00E05893"/>
    <w:rsid w:val="00E0671F"/>
    <w:rsid w:val="00E1076E"/>
    <w:rsid w:val="00E161F4"/>
    <w:rsid w:val="00E16DEF"/>
    <w:rsid w:val="00E213C4"/>
    <w:rsid w:val="00E216FD"/>
    <w:rsid w:val="00E21D87"/>
    <w:rsid w:val="00E26D85"/>
    <w:rsid w:val="00E27236"/>
    <w:rsid w:val="00E27E9A"/>
    <w:rsid w:val="00E5284B"/>
    <w:rsid w:val="00E53BCB"/>
    <w:rsid w:val="00E54325"/>
    <w:rsid w:val="00E55323"/>
    <w:rsid w:val="00E561BE"/>
    <w:rsid w:val="00E64A8C"/>
    <w:rsid w:val="00E65CA7"/>
    <w:rsid w:val="00E672CD"/>
    <w:rsid w:val="00E73799"/>
    <w:rsid w:val="00E74640"/>
    <w:rsid w:val="00E77865"/>
    <w:rsid w:val="00E80A13"/>
    <w:rsid w:val="00E80DCC"/>
    <w:rsid w:val="00E845F1"/>
    <w:rsid w:val="00E85841"/>
    <w:rsid w:val="00E86A85"/>
    <w:rsid w:val="00E91DDA"/>
    <w:rsid w:val="00E91EA7"/>
    <w:rsid w:val="00E94A1C"/>
    <w:rsid w:val="00E94A97"/>
    <w:rsid w:val="00EA54ED"/>
    <w:rsid w:val="00EA65D0"/>
    <w:rsid w:val="00EB4430"/>
    <w:rsid w:val="00EB5E38"/>
    <w:rsid w:val="00EB64C4"/>
    <w:rsid w:val="00EC2A61"/>
    <w:rsid w:val="00EC2BA5"/>
    <w:rsid w:val="00EC2C65"/>
    <w:rsid w:val="00EC37F3"/>
    <w:rsid w:val="00EC3E67"/>
    <w:rsid w:val="00EC4DC8"/>
    <w:rsid w:val="00EC53F2"/>
    <w:rsid w:val="00EC7D18"/>
    <w:rsid w:val="00EE6307"/>
    <w:rsid w:val="00EE70B8"/>
    <w:rsid w:val="00EE77E8"/>
    <w:rsid w:val="00EF086D"/>
    <w:rsid w:val="00EF1DEC"/>
    <w:rsid w:val="00EF48B9"/>
    <w:rsid w:val="00F00F38"/>
    <w:rsid w:val="00F029C6"/>
    <w:rsid w:val="00F067CE"/>
    <w:rsid w:val="00F101FD"/>
    <w:rsid w:val="00F13D80"/>
    <w:rsid w:val="00F14941"/>
    <w:rsid w:val="00F15121"/>
    <w:rsid w:val="00F22F4C"/>
    <w:rsid w:val="00F26ABC"/>
    <w:rsid w:val="00F35A6E"/>
    <w:rsid w:val="00F36C30"/>
    <w:rsid w:val="00F40971"/>
    <w:rsid w:val="00F41C06"/>
    <w:rsid w:val="00F51F4D"/>
    <w:rsid w:val="00F52CDE"/>
    <w:rsid w:val="00F532F0"/>
    <w:rsid w:val="00F55763"/>
    <w:rsid w:val="00F56A1B"/>
    <w:rsid w:val="00F671BC"/>
    <w:rsid w:val="00F67F9B"/>
    <w:rsid w:val="00F760AB"/>
    <w:rsid w:val="00F76189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0BFE"/>
    <w:rsid w:val="00FB2E0F"/>
    <w:rsid w:val="00FB4F7C"/>
    <w:rsid w:val="00FC2974"/>
    <w:rsid w:val="00FC3756"/>
    <w:rsid w:val="00FC5E32"/>
    <w:rsid w:val="00FC6280"/>
    <w:rsid w:val="00FC6F8A"/>
    <w:rsid w:val="00FD2B43"/>
    <w:rsid w:val="00FD3685"/>
    <w:rsid w:val="00FD58EB"/>
    <w:rsid w:val="00FD6BDF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C892-5CA1-40F1-985D-1B92B81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723</TotalTime>
  <Pages>5</Pages>
  <Words>1995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365</cp:revision>
  <cp:lastPrinted>2015-11-13T09:32:00Z</cp:lastPrinted>
  <dcterms:created xsi:type="dcterms:W3CDTF">2015-04-09T07:59:00Z</dcterms:created>
  <dcterms:modified xsi:type="dcterms:W3CDTF">2016-01-15T13:40:00Z</dcterms:modified>
</cp:coreProperties>
</file>